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6108" w14:textId="77777777" w:rsidR="004733BF" w:rsidRPr="00C91D35" w:rsidRDefault="004733BF" w:rsidP="004733BF">
      <w:pPr>
        <w:autoSpaceDE w:val="0"/>
        <w:autoSpaceDN w:val="0"/>
        <w:adjustRightInd w:val="0"/>
        <w:spacing w:after="0"/>
        <w:ind w:left="-113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7184002" w14:textId="77777777" w:rsidR="004A28DE" w:rsidRPr="005F15FB" w:rsidRDefault="004A28DE" w:rsidP="004A28DE">
      <w:pPr>
        <w:spacing w:line="360" w:lineRule="auto"/>
        <w:jc w:val="both"/>
        <w:rPr>
          <w:rFonts w:ascii="Tahoma" w:hAnsi="Tahoma" w:cs="Tahoma"/>
          <w:b/>
          <w:lang w:val="en-GB"/>
        </w:rPr>
      </w:pPr>
      <w:proofErr w:type="spellStart"/>
      <w:r w:rsidRPr="005F15FB">
        <w:rPr>
          <w:rFonts w:ascii="Tahoma" w:hAnsi="Tahoma" w:cs="Tahoma"/>
          <w:b/>
          <w:lang w:val="en-GB"/>
        </w:rPr>
        <w:t>Grupa</w:t>
      </w:r>
      <w:proofErr w:type="spellEnd"/>
      <w:r w:rsidRPr="005F15FB">
        <w:rPr>
          <w:rFonts w:ascii="Tahoma" w:hAnsi="Tahoma" w:cs="Tahoma"/>
          <w:b/>
          <w:lang w:val="en-GB"/>
        </w:rPr>
        <w:t xml:space="preserve"> BUDIMEX </w:t>
      </w:r>
    </w:p>
    <w:p w14:paraId="185C46E0" w14:textId="0337123E" w:rsidR="00C91D35" w:rsidRPr="005F15FB" w:rsidRDefault="00D55A44" w:rsidP="00C91D35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The selected financial data from the consolidated financial statements of the Budimex Group prepared in accordance with the International Financial Reporting Standards (IFRS) for the financial year of 201</w:t>
      </w:r>
      <w:r w:rsidR="00BC7E4E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 xml:space="preserve"> and comparable data for the financial year of 201</w:t>
      </w:r>
      <w:r w:rsidR="00BC7E4E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  <w:r w:rsidR="00C91D35" w:rsidRPr="005F15FB">
        <w:rPr>
          <w:sz w:val="22"/>
          <w:szCs w:val="22"/>
          <w:lang w:val="en-GB"/>
        </w:rPr>
        <w:t xml:space="preserve"> </w:t>
      </w:r>
    </w:p>
    <w:p w14:paraId="2717B10E" w14:textId="77777777" w:rsidR="00C91D35" w:rsidRPr="005F15FB" w:rsidRDefault="00C91D35" w:rsidP="00C91D35">
      <w:pPr>
        <w:pStyle w:val="Default"/>
        <w:rPr>
          <w:sz w:val="16"/>
          <w:szCs w:val="16"/>
          <w:lang w:val="en-GB"/>
        </w:rPr>
      </w:pPr>
    </w:p>
    <w:p w14:paraId="52F029F8" w14:textId="77777777" w:rsidR="00C91D35" w:rsidRPr="005F15FB" w:rsidRDefault="00C91D35" w:rsidP="00C91D35">
      <w:pPr>
        <w:pStyle w:val="Default"/>
        <w:rPr>
          <w:sz w:val="18"/>
          <w:szCs w:val="18"/>
          <w:lang w:val="en-GB"/>
        </w:rPr>
      </w:pPr>
    </w:p>
    <w:p w14:paraId="6286FEA9" w14:textId="54D49C30" w:rsidR="004A28DE" w:rsidRPr="00A408AE" w:rsidRDefault="00C91D35" w:rsidP="00C91D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  <w:lang w:val="en-GB"/>
        </w:rPr>
      </w:pPr>
      <w:r w:rsidRPr="00A408AE">
        <w:rPr>
          <w:b/>
          <w:sz w:val="20"/>
          <w:szCs w:val="20"/>
          <w:lang w:val="en-GB"/>
        </w:rPr>
        <w:t xml:space="preserve"> </w:t>
      </w:r>
      <w:r w:rsidR="00A408AE" w:rsidRPr="0074685E">
        <w:rPr>
          <w:rFonts w:ascii="Tahoma" w:hAnsi="Tahoma" w:cs="Tahoma"/>
          <w:sz w:val="20"/>
          <w:szCs w:val="20"/>
          <w:u w:val="single"/>
          <w:lang w:val="en-GB"/>
        </w:rPr>
        <w:t>The r</w:t>
      </w:r>
      <w:r w:rsidRPr="0074685E">
        <w:rPr>
          <w:rFonts w:ascii="Tahoma" w:hAnsi="Tahoma" w:cs="Tahoma"/>
          <w:sz w:val="20"/>
          <w:szCs w:val="20"/>
          <w:u w:val="single"/>
          <w:lang w:val="en-GB"/>
        </w:rPr>
        <w:t>esults of reporting segments</w:t>
      </w:r>
      <w:r w:rsidRPr="00A408AE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</w:t>
      </w:r>
      <w:r w:rsidR="006F429D" w:rsidRPr="00A408AE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for </w:t>
      </w:r>
      <w:r w:rsidR="00A408AE" w:rsidRPr="00A408AE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the financial year </w:t>
      </w:r>
      <w:r w:rsidRPr="00A408AE">
        <w:rPr>
          <w:rFonts w:ascii="Tahoma" w:hAnsi="Tahoma" w:cs="Tahoma"/>
          <w:b/>
          <w:sz w:val="20"/>
          <w:szCs w:val="20"/>
          <w:u w:val="single"/>
          <w:lang w:val="en-GB"/>
        </w:rPr>
        <w:t>of 201</w:t>
      </w:r>
      <w:r w:rsidR="00BC7E4E">
        <w:rPr>
          <w:rFonts w:ascii="Tahoma" w:hAnsi="Tahoma" w:cs="Tahoma"/>
          <w:b/>
          <w:sz w:val="20"/>
          <w:szCs w:val="20"/>
          <w:u w:val="single"/>
          <w:lang w:val="en-GB"/>
        </w:rPr>
        <w:t>9</w:t>
      </w:r>
      <w:r w:rsidRPr="00A408AE">
        <w:rPr>
          <w:rFonts w:ascii="Tahoma" w:hAnsi="Tahoma" w:cs="Tahoma"/>
          <w:sz w:val="20"/>
          <w:szCs w:val="20"/>
          <w:u w:val="single"/>
          <w:lang w:val="en-GB"/>
        </w:rPr>
        <w:t xml:space="preserve"> (in PLN thousand):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253"/>
        <w:gridCol w:w="1253"/>
        <w:gridCol w:w="967"/>
        <w:gridCol w:w="1139"/>
        <w:gridCol w:w="1554"/>
      </w:tblGrid>
      <w:tr w:rsidR="004A28DE" w:rsidRPr="004D61F0" w14:paraId="37E964E7" w14:textId="77777777" w:rsidTr="00C91D35">
        <w:trPr>
          <w:trHeight w:val="840"/>
        </w:trPr>
        <w:tc>
          <w:tcPr>
            <w:tcW w:w="2906" w:type="dxa"/>
          </w:tcPr>
          <w:p w14:paraId="6FE484FD" w14:textId="77777777" w:rsidR="004A28DE" w:rsidRPr="005F15FB" w:rsidRDefault="004A28DE" w:rsidP="00B61877">
            <w:pPr>
              <w:ind w:right="180"/>
              <w:rPr>
                <w:rFonts w:ascii="Tahoma" w:eastAsia="Arial Unicode MS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CCED7D2" w14:textId="77777777" w:rsidR="00C91D35" w:rsidRPr="005F15FB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4"/>
            </w:tblGrid>
            <w:tr w:rsidR="00C91D35" w:rsidRPr="00C91D35" w14:paraId="57C77BB2" w14:textId="77777777" w:rsidTr="00C91D35">
              <w:trPr>
                <w:trHeight w:val="184"/>
              </w:trPr>
              <w:tc>
                <w:tcPr>
                  <w:tcW w:w="1184" w:type="dxa"/>
                </w:tcPr>
                <w:p w14:paraId="163A5B26" w14:textId="77777777" w:rsidR="00C91D35" w:rsidRPr="00C91D35" w:rsidRDefault="00C91D35" w:rsidP="00C91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Construction segment </w:t>
                  </w:r>
                </w:p>
              </w:tc>
            </w:tr>
          </w:tbl>
          <w:p w14:paraId="1AE15307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3AF494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1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"/>
            </w:tblGrid>
            <w:tr w:rsidR="00C91D35" w:rsidRPr="00C91D35" w14:paraId="07267F03" w14:textId="77777777" w:rsidTr="00C91D35">
              <w:trPr>
                <w:trHeight w:val="261"/>
              </w:trPr>
              <w:tc>
                <w:tcPr>
                  <w:tcW w:w="1301" w:type="dxa"/>
                </w:tcPr>
                <w:p w14:paraId="5DC5C514" w14:textId="77777777" w:rsidR="00C91D35" w:rsidRPr="00C91D35" w:rsidRDefault="00C91D35" w:rsidP="00C91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Real </w:t>
                  </w:r>
                  <w:proofErr w:type="spellStart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estate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development segment </w:t>
                  </w:r>
                </w:p>
              </w:tc>
            </w:tr>
          </w:tbl>
          <w:p w14:paraId="6AE35B65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F363292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"/>
            </w:tblGrid>
            <w:tr w:rsidR="00C91D35" w:rsidRPr="00C91D35" w14:paraId="7D8C83B0" w14:textId="77777777" w:rsidTr="007C7473">
              <w:trPr>
                <w:trHeight w:val="99"/>
              </w:trPr>
              <w:tc>
                <w:tcPr>
                  <w:tcW w:w="969" w:type="dxa"/>
                </w:tcPr>
                <w:p w14:paraId="4D3ECEB3" w14:textId="7F6B1E0F" w:rsidR="00C91D35" w:rsidRPr="00C91D35" w:rsidRDefault="007C7473" w:rsidP="007C74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Services        segment</w:t>
                  </w:r>
                </w:p>
              </w:tc>
            </w:tr>
          </w:tbl>
          <w:p w14:paraId="12A4EEE7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C6DC00D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C91D35" w:rsidRPr="00C91D35" w14:paraId="7AA222E3" w14:textId="77777777" w:rsidTr="00C91D35">
              <w:trPr>
                <w:trHeight w:val="89"/>
              </w:trPr>
              <w:tc>
                <w:tcPr>
                  <w:tcW w:w="1309" w:type="dxa"/>
                </w:tcPr>
                <w:p w14:paraId="796D8C09" w14:textId="77777777" w:rsidR="00C91D35" w:rsidRPr="00C91D35" w:rsidRDefault="001635B1" w:rsidP="00C91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Consolidation</w:t>
                  </w:r>
                  <w:proofErr w:type="spellEnd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adjustments</w:t>
                  </w:r>
                  <w:proofErr w:type="spellEnd"/>
                  <w:r w:rsidR="00C91D35"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92154C7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4EBE28F0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"/>
            </w:tblGrid>
            <w:tr w:rsidR="00C91D35" w:rsidRPr="00C91D35" w14:paraId="4BA7BC11" w14:textId="77777777" w:rsidTr="00C91D35">
              <w:trPr>
                <w:trHeight w:val="219"/>
              </w:trPr>
              <w:tc>
                <w:tcPr>
                  <w:tcW w:w="1515" w:type="dxa"/>
                </w:tcPr>
                <w:p w14:paraId="70356670" w14:textId="77777777" w:rsidR="00C91D35" w:rsidRPr="00C91D35" w:rsidRDefault="00C91D35" w:rsidP="001635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91D35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Consolidated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data</w:t>
                  </w:r>
                </w:p>
              </w:tc>
            </w:tr>
          </w:tbl>
          <w:p w14:paraId="7CE6A8DF" w14:textId="77777777" w:rsidR="004A28DE" w:rsidRPr="00F13ABF" w:rsidRDefault="004A28DE" w:rsidP="00B61877">
            <w:pPr>
              <w:ind w:left="137"/>
              <w:jc w:val="both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</w:tc>
      </w:tr>
      <w:tr w:rsidR="00BC7E4E" w:rsidRPr="004D61F0" w14:paraId="64757579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0FD0CF5B" w14:textId="77777777" w:rsidR="00BC7E4E" w:rsidRPr="005F15FB" w:rsidRDefault="00BC7E4E" w:rsidP="00BC7E4E">
            <w:pPr>
              <w:spacing w:after="12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5F15FB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Net revenue from sales of products, goods and raw materials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9CF1" w14:textId="2156F10B" w:rsidR="00BC7E4E" w:rsidRPr="008743C4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7 151 978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9CF2" w14:textId="3D2E7C75" w:rsidR="00BC7E4E" w:rsidRPr="008B371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557 811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D01F" w14:textId="54F4CC13" w:rsidR="00BC7E4E" w:rsidRPr="008B371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278 281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E17CB" w14:textId="66DFA348" w:rsidR="00BC7E4E" w:rsidRPr="008743C4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(418 407)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9B31" w14:textId="73B27141" w:rsidR="00BC7E4E" w:rsidRPr="008743C4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7 569 663</w:t>
            </w:r>
          </w:p>
        </w:tc>
      </w:tr>
      <w:tr w:rsidR="00BC7E4E" w:rsidRPr="004D61F0" w14:paraId="43730185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09289886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Gross profit on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sales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FFED" w14:textId="32F6A8DA" w:rsidR="00BC7E4E" w:rsidRPr="002E164B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418 189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A3097" w14:textId="2E83AC6C" w:rsidR="00BC7E4E" w:rsidRPr="002E164B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137 115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6F6AF" w14:textId="5113F54F" w:rsidR="00BC7E4E" w:rsidRPr="002E164B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39 303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26BA6" w14:textId="4EDF549F" w:rsidR="00BC7E4E" w:rsidRPr="0080344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(43 055)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6B23" w14:textId="62EF1936" w:rsidR="00BC7E4E" w:rsidRPr="00803440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551 552</w:t>
            </w:r>
          </w:p>
        </w:tc>
      </w:tr>
      <w:tr w:rsidR="00BC7E4E" w:rsidRPr="004D61F0" w14:paraId="64347507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2E0E230F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Selling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C4D2" w14:textId="6A5E8944" w:rsidR="00BC7E4E" w:rsidRPr="00920129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(10 721)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AC57" w14:textId="6629A458" w:rsidR="00BC7E4E" w:rsidRPr="00920129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(19 757)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6FC7" w14:textId="25B951F6" w:rsidR="00BC7E4E" w:rsidRPr="00B82B75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0DE5" w14:textId="3AC440A0" w:rsidR="00BC7E4E" w:rsidRPr="00B82B75" w:rsidRDefault="00BC7E4E" w:rsidP="00BC7E4E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D38C" w14:textId="367CD96E" w:rsidR="00BC7E4E" w:rsidRPr="00B82B75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(30 478)</w:t>
            </w:r>
          </w:p>
        </w:tc>
      </w:tr>
      <w:tr w:rsidR="00BC7E4E" w:rsidRPr="004D61F0" w14:paraId="0D0445B8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4B7A7F35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General and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administrative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0326" w14:textId="27E6CC17" w:rsidR="00BC7E4E" w:rsidRPr="00A42BE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(173 135)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89C0C" w14:textId="455CB764" w:rsidR="00BC7E4E" w:rsidRPr="00A42BE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(26 183)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0FE" w14:textId="08FFE31B" w:rsidR="00BC7E4E" w:rsidRPr="00A42BE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(14 157)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AB33" w14:textId="45355E1F" w:rsidR="00BC7E4E" w:rsidRPr="00EF051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14 483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7EB9" w14:textId="6A1F5645" w:rsidR="00BC7E4E" w:rsidRPr="00EF051C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(198 992)</w:t>
            </w:r>
          </w:p>
        </w:tc>
      </w:tr>
      <w:tr w:rsidR="00BC7E4E" w:rsidRPr="004D61F0" w14:paraId="159AC09A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77F35465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Operating profit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9B81" w14:textId="03C60118" w:rsidR="00BC7E4E" w:rsidRPr="006525F5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206 994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F8499" w14:textId="3F47F72A" w:rsidR="00BC7E4E" w:rsidRPr="006525F5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116 785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A82B" w14:textId="61EBF5ED" w:rsidR="00BC7E4E" w:rsidRPr="006525F5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23 187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3125" w14:textId="0C589BFB" w:rsidR="00BC7E4E" w:rsidRPr="00400334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(28 572)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822C5" w14:textId="370E53E4" w:rsidR="00BC7E4E" w:rsidRPr="00400334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318 394</w:t>
            </w:r>
          </w:p>
        </w:tc>
      </w:tr>
      <w:tr w:rsidR="00BC7E4E" w:rsidRPr="004D61F0" w14:paraId="675A2B12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6CDB9009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Profit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before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E319D09" w14:textId="31AC4189" w:rsidR="00BC7E4E" w:rsidRPr="00065CC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188 461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0622E2D" w14:textId="11F2A5DF" w:rsidR="00BC7E4E" w:rsidRPr="00065CC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120 146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219227E7" w14:textId="2883CD46" w:rsidR="00BC7E4E" w:rsidRPr="00065CC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52 075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7F117B31" w14:textId="7A003C5B" w:rsidR="00BC7E4E" w:rsidRPr="00065CCE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(28 325)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CB0026E" w14:textId="226B6F59" w:rsidR="00BC7E4E" w:rsidRPr="00065CCE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332 357</w:t>
            </w:r>
          </w:p>
        </w:tc>
      </w:tr>
      <w:tr w:rsidR="00BC7E4E" w:rsidRPr="004D61F0" w14:paraId="14FD9C4F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09334E13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Net profit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6DE09" w14:textId="7B7D6943" w:rsidR="00BC7E4E" w:rsidRPr="000F563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106 794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0BC6A" w14:textId="3F5ACBDE" w:rsidR="00BC7E4E" w:rsidRPr="000F563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97 056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EA60" w14:textId="0C690E03" w:rsidR="00BC7E4E" w:rsidRPr="000F563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47 946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443BB" w14:textId="21934188" w:rsidR="00BC7E4E" w:rsidRPr="000F563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(22 945)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5B7E" w14:textId="754F7408" w:rsidR="00BC7E4E" w:rsidRPr="000F563F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228 851</w:t>
            </w:r>
          </w:p>
        </w:tc>
      </w:tr>
      <w:tr w:rsidR="00BC7E4E" w:rsidRPr="004D61F0" w14:paraId="23F0CCE2" w14:textId="77777777" w:rsidTr="001635B1">
        <w:trPr>
          <w:trHeight w:val="397"/>
        </w:trPr>
        <w:tc>
          <w:tcPr>
            <w:tcW w:w="2906" w:type="dxa"/>
            <w:vAlign w:val="center"/>
          </w:tcPr>
          <w:p w14:paraId="60624AA1" w14:textId="77777777" w:rsidR="00BC7E4E" w:rsidRPr="005F15FB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5F15FB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Profit attributable to shareholders of the Parent Company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5EAB7" w14:textId="5BAEF4E2" w:rsidR="00BC7E4E" w:rsidRPr="00F13AB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106 794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A3B5B" w14:textId="20F3EEC3" w:rsidR="00BC7E4E" w:rsidRPr="00F13AB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97 056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F9D6" w14:textId="3DD649B9" w:rsidR="00BC7E4E" w:rsidRPr="00F13AB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45 10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502B" w14:textId="366EF9C8" w:rsidR="00BC7E4E" w:rsidRPr="00F13ABF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(22 945)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8220" w14:textId="4768FDF4" w:rsidR="00BC7E4E" w:rsidRPr="00F13ABF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226 014</w:t>
            </w:r>
          </w:p>
        </w:tc>
      </w:tr>
    </w:tbl>
    <w:p w14:paraId="67F0C9F9" w14:textId="77777777" w:rsidR="00C91D35" w:rsidRDefault="00C91D35" w:rsidP="00C91D35">
      <w:pPr>
        <w:pStyle w:val="Default"/>
      </w:pPr>
    </w:p>
    <w:p w14:paraId="1B81476D" w14:textId="61ABA9FF" w:rsidR="00601C53" w:rsidRPr="005F15FB" w:rsidRDefault="00A408AE" w:rsidP="00C91D3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4"/>
          <w:szCs w:val="14"/>
          <w:lang w:val="en-GB"/>
        </w:rPr>
      </w:pPr>
      <w:r w:rsidRPr="0074685E">
        <w:rPr>
          <w:rFonts w:ascii="Tahoma" w:hAnsi="Tahoma" w:cs="Tahoma"/>
          <w:sz w:val="20"/>
          <w:szCs w:val="20"/>
          <w:u w:val="single"/>
          <w:lang w:val="en-GB"/>
        </w:rPr>
        <w:t>The results of reporting segments</w:t>
      </w:r>
      <w:r w:rsidRPr="00A408AE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for the financial year of 201</w:t>
      </w:r>
      <w:r w:rsidR="00BC7E4E">
        <w:rPr>
          <w:rFonts w:ascii="Tahoma" w:hAnsi="Tahoma" w:cs="Tahoma"/>
          <w:b/>
          <w:sz w:val="20"/>
          <w:szCs w:val="20"/>
          <w:u w:val="single"/>
          <w:lang w:val="en-GB"/>
        </w:rPr>
        <w:t>8</w:t>
      </w:r>
      <w:r w:rsidRPr="00A408AE">
        <w:rPr>
          <w:rFonts w:ascii="Tahoma" w:hAnsi="Tahoma" w:cs="Tahoma"/>
          <w:sz w:val="20"/>
          <w:szCs w:val="20"/>
          <w:u w:val="single"/>
          <w:lang w:val="en-GB"/>
        </w:rPr>
        <w:t xml:space="preserve"> (in PLN thousand):</w:t>
      </w:r>
      <w:r>
        <w:rPr>
          <w:rFonts w:ascii="Tahoma" w:hAnsi="Tahoma" w:cs="Tahoma"/>
          <w:b/>
          <w:sz w:val="24"/>
          <w:szCs w:val="24"/>
          <w:lang w:val="en-GB"/>
        </w:rPr>
        <w:tab/>
      </w:r>
      <w:r w:rsidR="00601C53" w:rsidRPr="005F15FB">
        <w:rPr>
          <w:rFonts w:ascii="Tahoma" w:hAnsi="Tahoma" w:cs="Tahoma"/>
          <w:b/>
          <w:sz w:val="24"/>
          <w:szCs w:val="24"/>
          <w:lang w:val="en-GB"/>
        </w:rPr>
        <w:tab/>
      </w:r>
    </w:p>
    <w:tbl>
      <w:tblPr>
        <w:tblW w:w="906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242"/>
        <w:gridCol w:w="1242"/>
        <w:gridCol w:w="1157"/>
        <w:gridCol w:w="1139"/>
        <w:gridCol w:w="1396"/>
      </w:tblGrid>
      <w:tr w:rsidR="00C91D35" w:rsidRPr="005036EC" w14:paraId="5B924934" w14:textId="77777777" w:rsidTr="00C91D35">
        <w:trPr>
          <w:trHeight w:val="840"/>
        </w:trPr>
        <w:tc>
          <w:tcPr>
            <w:tcW w:w="2890" w:type="dxa"/>
          </w:tcPr>
          <w:p w14:paraId="499DDEA3" w14:textId="77777777" w:rsidR="00C91D35" w:rsidRPr="005F15FB" w:rsidRDefault="00C91D35" w:rsidP="00C91D35">
            <w:pPr>
              <w:ind w:right="180"/>
              <w:rPr>
                <w:rFonts w:ascii="Tahoma" w:eastAsia="Arial Unicode MS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872FC57" w14:textId="77777777" w:rsidR="00C91D35" w:rsidRPr="005F15FB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4"/>
            </w:tblGrid>
            <w:tr w:rsidR="00C91D35" w:rsidRPr="00C91D35" w14:paraId="14A26490" w14:textId="77777777" w:rsidTr="00AE3201">
              <w:trPr>
                <w:trHeight w:val="184"/>
              </w:trPr>
              <w:tc>
                <w:tcPr>
                  <w:tcW w:w="1184" w:type="dxa"/>
                </w:tcPr>
                <w:p w14:paraId="7E47695F" w14:textId="77777777" w:rsidR="00C91D35" w:rsidRPr="00C91D35" w:rsidRDefault="00C91D35" w:rsidP="00C91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Construction segment </w:t>
                  </w:r>
                </w:p>
              </w:tc>
            </w:tr>
          </w:tbl>
          <w:p w14:paraId="34F8B650" w14:textId="77777777" w:rsidR="00C91D35" w:rsidRPr="00F13ABF" w:rsidRDefault="00C91D35" w:rsidP="00C91D35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476F846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1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"/>
            </w:tblGrid>
            <w:tr w:rsidR="00C91D35" w:rsidRPr="00C91D35" w14:paraId="07C2FE54" w14:textId="77777777" w:rsidTr="00AE3201">
              <w:trPr>
                <w:trHeight w:val="261"/>
              </w:trPr>
              <w:tc>
                <w:tcPr>
                  <w:tcW w:w="1301" w:type="dxa"/>
                </w:tcPr>
                <w:p w14:paraId="231F6DC6" w14:textId="77777777" w:rsidR="00C91D35" w:rsidRPr="00C91D35" w:rsidRDefault="00C91D35" w:rsidP="00C91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Real </w:t>
                  </w:r>
                  <w:proofErr w:type="spellStart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estate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development segment </w:t>
                  </w:r>
                </w:p>
              </w:tc>
            </w:tr>
          </w:tbl>
          <w:p w14:paraId="5EA3953C" w14:textId="77777777" w:rsidR="00C91D35" w:rsidRPr="00F13ABF" w:rsidRDefault="00C91D35" w:rsidP="00C91D35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44A10BE4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1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1"/>
            </w:tblGrid>
            <w:tr w:rsidR="00C91D35" w:rsidRPr="00C91D35" w14:paraId="751569C0" w14:textId="77777777" w:rsidTr="007C7473">
              <w:trPr>
                <w:trHeight w:val="99"/>
              </w:trPr>
              <w:tc>
                <w:tcPr>
                  <w:tcW w:w="1161" w:type="dxa"/>
                </w:tcPr>
                <w:p w14:paraId="715215A6" w14:textId="7DAF3A0E" w:rsidR="00C91D35" w:rsidRPr="00C91D35" w:rsidRDefault="007C7473" w:rsidP="007C74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Services        segment</w:t>
                  </w:r>
                  <w:bookmarkStart w:id="0" w:name="_GoBack"/>
                  <w:bookmarkEnd w:id="0"/>
                </w:p>
              </w:tc>
            </w:tr>
          </w:tbl>
          <w:p w14:paraId="5186F30B" w14:textId="77777777" w:rsidR="00C91D35" w:rsidRPr="00F13ABF" w:rsidRDefault="00C91D35" w:rsidP="00C91D35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126D66C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26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  <w:gridCol w:w="1309"/>
            </w:tblGrid>
            <w:tr w:rsidR="001635B1" w:rsidRPr="00C91D35" w14:paraId="7FA977F4" w14:textId="77777777" w:rsidTr="001635B1">
              <w:trPr>
                <w:trHeight w:val="89"/>
              </w:trPr>
              <w:tc>
                <w:tcPr>
                  <w:tcW w:w="1309" w:type="dxa"/>
                </w:tcPr>
                <w:p w14:paraId="09FCB685" w14:textId="77777777" w:rsidR="001635B1" w:rsidRPr="00C91D35" w:rsidRDefault="001635B1" w:rsidP="00163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Consolidation</w:t>
                  </w:r>
                  <w:proofErr w:type="spellEnd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adjustments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9" w:type="dxa"/>
                </w:tcPr>
                <w:p w14:paraId="3EF2B228" w14:textId="77777777" w:rsidR="001635B1" w:rsidRPr="00C91D35" w:rsidRDefault="001635B1" w:rsidP="00163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>Derecognition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36BBA29" w14:textId="77777777" w:rsidR="00C91D35" w:rsidRPr="00F13ABF" w:rsidRDefault="00C91D35" w:rsidP="00C91D35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6D18DBC" w14:textId="77777777" w:rsidR="00C91D35" w:rsidRPr="00C91D35" w:rsidRDefault="00C91D35" w:rsidP="00C9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"/>
            </w:tblGrid>
            <w:tr w:rsidR="00C91D35" w:rsidRPr="00C91D35" w14:paraId="457D7102" w14:textId="77777777" w:rsidTr="00AE3201">
              <w:trPr>
                <w:trHeight w:val="219"/>
              </w:trPr>
              <w:tc>
                <w:tcPr>
                  <w:tcW w:w="1515" w:type="dxa"/>
                </w:tcPr>
                <w:p w14:paraId="60375324" w14:textId="77777777" w:rsidR="00C91D35" w:rsidRPr="00C91D35" w:rsidRDefault="00C91D35" w:rsidP="001635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91D35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Consolidated</w:t>
                  </w:r>
                  <w:proofErr w:type="spellEnd"/>
                  <w:r w:rsidRPr="00C91D35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data</w:t>
                  </w:r>
                </w:p>
              </w:tc>
            </w:tr>
          </w:tbl>
          <w:p w14:paraId="786526E6" w14:textId="77777777" w:rsidR="00C91D35" w:rsidRPr="00F13ABF" w:rsidRDefault="00C91D35" w:rsidP="00C91D35">
            <w:pPr>
              <w:ind w:left="137"/>
              <w:jc w:val="both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</w:tc>
      </w:tr>
      <w:tr w:rsidR="00BC7E4E" w:rsidRPr="005036EC" w14:paraId="6B5C96EF" w14:textId="77777777" w:rsidTr="00C91D35">
        <w:trPr>
          <w:trHeight w:val="57"/>
        </w:trPr>
        <w:tc>
          <w:tcPr>
            <w:tcW w:w="2890" w:type="dxa"/>
            <w:vAlign w:val="center"/>
          </w:tcPr>
          <w:p w14:paraId="160F2F47" w14:textId="77777777" w:rsidR="00BC7E4E" w:rsidRPr="005F15FB" w:rsidRDefault="00BC7E4E" w:rsidP="00BC7E4E">
            <w:pPr>
              <w:spacing w:after="12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5F15FB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Net revenue from sales of products, goods and raw materials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7309" w14:textId="4E4916A5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B5313D">
              <w:rPr>
                <w:rFonts w:ascii="Tahoma" w:hAnsi="Tahoma" w:cs="Tahoma"/>
                <w:sz w:val="16"/>
                <w:szCs w:val="16"/>
              </w:rPr>
              <w:t> 0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Pr="00B531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643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FB9C" w14:textId="61889FBC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548</w:t>
            </w:r>
            <w:r w:rsidRPr="008B37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069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5342" w14:textId="2259F754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Pr="008B37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8B371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DEAC" w14:textId="64A8CE3E" w:rsidR="00BC7E4E" w:rsidRPr="005036EC" w:rsidRDefault="00BC7E4E" w:rsidP="00BC7E4E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43C4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309</w:t>
            </w:r>
            <w:r w:rsidRPr="008743C4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229</w:t>
            </w:r>
            <w:r w:rsidRPr="008743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4234" w14:textId="162ED2AF" w:rsidR="00BC7E4E" w:rsidRPr="005036EC" w:rsidRDefault="00BC7E4E" w:rsidP="00BC7E4E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8743C4">
              <w:rPr>
                <w:rFonts w:ascii="Tahoma" w:hAnsi="Tahoma" w:cs="Tahoma"/>
                <w:b/>
                <w:sz w:val="16"/>
                <w:szCs w:val="16"/>
              </w:rPr>
              <w:t> 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87</w:t>
            </w:r>
            <w:r w:rsidRPr="008743C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BC7E4E" w:rsidRPr="005036EC" w14:paraId="20732D8F" w14:textId="77777777" w:rsidTr="00C91D35">
        <w:trPr>
          <w:trHeight w:val="196"/>
        </w:trPr>
        <w:tc>
          <w:tcPr>
            <w:tcW w:w="2890" w:type="dxa"/>
            <w:vAlign w:val="center"/>
          </w:tcPr>
          <w:p w14:paraId="5A174B0E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Gross profit on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sales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73838" w14:textId="6B27A8A1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507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279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97E9" w14:textId="3C079A9E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477C5" w14:textId="061AC157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164B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2E164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3AE43" w14:textId="4E1EBE82" w:rsidR="00BC7E4E" w:rsidRPr="005036EC" w:rsidRDefault="00BC7E4E" w:rsidP="00BC7E4E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344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803440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540</w:t>
            </w:r>
            <w:r w:rsidRPr="0080344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172E" w14:textId="105084C3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629</w:t>
            </w:r>
            <w:r w:rsidRPr="0080344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089</w:t>
            </w:r>
          </w:p>
        </w:tc>
      </w:tr>
      <w:tr w:rsidR="00BC7E4E" w:rsidRPr="005036EC" w14:paraId="3088527D" w14:textId="77777777" w:rsidTr="00C91D35">
        <w:trPr>
          <w:trHeight w:val="196"/>
        </w:trPr>
        <w:tc>
          <w:tcPr>
            <w:tcW w:w="2890" w:type="dxa"/>
            <w:vAlign w:val="center"/>
          </w:tcPr>
          <w:p w14:paraId="7DA78583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Selling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9E622" w14:textId="6D3B69CA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012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9201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738</w:t>
            </w:r>
            <w:r w:rsidRPr="0092012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5D6C" w14:textId="588C848E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0129">
              <w:rPr>
                <w:rFonts w:ascii="Tahoma" w:hAnsi="Tahoma" w:cs="Tahoma"/>
                <w:sz w:val="16"/>
                <w:szCs w:val="16"/>
              </w:rPr>
              <w:t>(1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9201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158</w:t>
            </w:r>
            <w:r w:rsidRPr="0092012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E57C" w14:textId="48D75542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2B75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B82B7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754</w:t>
            </w:r>
            <w:r w:rsidRPr="00B82B7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7315" w14:textId="6971DC89" w:rsidR="00BC7E4E" w:rsidRPr="005036EC" w:rsidRDefault="00BC7E4E" w:rsidP="00BC7E4E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B75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A678" w14:textId="69484229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82B75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82B75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650</w:t>
            </w:r>
            <w:r w:rsidRPr="00B82B7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C7E4E" w:rsidRPr="005036EC" w14:paraId="0154F91E" w14:textId="77777777" w:rsidTr="00C91D35">
        <w:trPr>
          <w:trHeight w:val="196"/>
        </w:trPr>
        <w:tc>
          <w:tcPr>
            <w:tcW w:w="2890" w:type="dxa"/>
            <w:vAlign w:val="center"/>
          </w:tcPr>
          <w:p w14:paraId="78D159DA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General and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administrative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F53D" w14:textId="054CDE0C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214</w:t>
            </w:r>
            <w:r w:rsidRPr="00A42B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628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CE26" w14:textId="2234ECC9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A42B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233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48FE" w14:textId="5A63849D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(4 0</w:t>
            </w:r>
            <w:r>
              <w:rPr>
                <w:rFonts w:ascii="Tahoma" w:hAnsi="Tahoma" w:cs="Tahoma"/>
                <w:sz w:val="16"/>
                <w:szCs w:val="16"/>
              </w:rPr>
              <w:t>96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132A" w14:textId="4ADCDFCE" w:rsidR="00BC7E4E" w:rsidRPr="005036EC" w:rsidRDefault="00BC7E4E" w:rsidP="00BC7E4E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Pr="00EF051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364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F266" w14:textId="303E6F55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051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229</w:t>
            </w:r>
            <w:r w:rsidRPr="00EF051C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593</w:t>
            </w:r>
            <w:r w:rsidRPr="00EF05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C7E4E" w:rsidRPr="005036EC" w14:paraId="1CCEEBA8" w14:textId="77777777" w:rsidTr="00C91D35">
        <w:trPr>
          <w:trHeight w:val="196"/>
        </w:trPr>
        <w:tc>
          <w:tcPr>
            <w:tcW w:w="2890" w:type="dxa"/>
            <w:vAlign w:val="center"/>
          </w:tcPr>
          <w:p w14:paraId="33E5A102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Operating profit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8A8B" w14:textId="06C4AB25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525F5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6525F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5BA0B" w14:textId="3D35177A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F1B64" w14:textId="7B3880AC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383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8FF6" w14:textId="2C8C8192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(2 151)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1B8E4" w14:textId="0F0571CF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417</w:t>
            </w:r>
            <w:r w:rsidRPr="004003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010</w:t>
            </w:r>
          </w:p>
        </w:tc>
      </w:tr>
      <w:tr w:rsidR="00BC7E4E" w:rsidRPr="005036EC" w14:paraId="58069A68" w14:textId="77777777" w:rsidTr="00C91D35">
        <w:trPr>
          <w:trHeight w:val="159"/>
        </w:trPr>
        <w:tc>
          <w:tcPr>
            <w:tcW w:w="2890" w:type="dxa"/>
            <w:vAlign w:val="center"/>
          </w:tcPr>
          <w:p w14:paraId="493343ED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Profit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before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EC1C845" w14:textId="144803D4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261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769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B2CCB7D" w14:textId="67011025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932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0087851B" w14:textId="44ABF9DB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247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6A0A18AD" w14:textId="682ABAAB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(2 560)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206183B6" w14:textId="4BFF2B82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403</w:t>
            </w:r>
            <w:r w:rsidRPr="00065C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388</w:t>
            </w:r>
          </w:p>
        </w:tc>
      </w:tr>
      <w:tr w:rsidR="00BC7E4E" w:rsidRPr="005036EC" w14:paraId="261E6ECE" w14:textId="77777777" w:rsidTr="00C91D35">
        <w:trPr>
          <w:trHeight w:val="159"/>
        </w:trPr>
        <w:tc>
          <w:tcPr>
            <w:tcW w:w="2890" w:type="dxa"/>
            <w:vAlign w:val="center"/>
          </w:tcPr>
          <w:p w14:paraId="105E77F4" w14:textId="77777777" w:rsidR="00BC7E4E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Net profit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7BE6" w14:textId="67474D8B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9D922" w14:textId="24B377C5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B822" w14:textId="57E36D0E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AE78" w14:textId="62B67EBA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(2 073)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FB52" w14:textId="442AFF9E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</w:t>
            </w:r>
            <w:r w:rsidRPr="000F563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484</w:t>
            </w:r>
          </w:p>
        </w:tc>
      </w:tr>
      <w:tr w:rsidR="00BC7E4E" w:rsidRPr="004D61F0" w14:paraId="351655F1" w14:textId="77777777" w:rsidTr="00C91D35">
        <w:trPr>
          <w:trHeight w:val="159"/>
        </w:trPr>
        <w:tc>
          <w:tcPr>
            <w:tcW w:w="2890" w:type="dxa"/>
            <w:vAlign w:val="center"/>
          </w:tcPr>
          <w:p w14:paraId="788D8B88" w14:textId="77777777" w:rsidR="00BC7E4E" w:rsidRPr="005F15FB" w:rsidRDefault="00BC7E4E" w:rsidP="00BC7E4E">
            <w:pPr>
              <w:spacing w:after="120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5F15FB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Profit attributable to shareholders of the Parent Company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D12C" w14:textId="66B26B9E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B6D0F" w14:textId="15E9C7C5" w:rsidR="00BC7E4E" w:rsidRPr="003B1380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BDC0" w14:textId="0738DECC" w:rsidR="00BC7E4E" w:rsidRPr="00257336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328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5EC5" w14:textId="2DFF1E2D" w:rsidR="00BC7E4E" w:rsidRPr="005036EC" w:rsidRDefault="00BC7E4E" w:rsidP="00BC7E4E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(2 068)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7453" w14:textId="30F1F7B9" w:rsidR="00BC7E4E" w:rsidRPr="005036EC" w:rsidRDefault="00BC7E4E" w:rsidP="00BC7E4E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</w:t>
            </w:r>
            <w:r w:rsidRPr="00F13A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</w:tr>
    </w:tbl>
    <w:p w14:paraId="34EBC476" w14:textId="77777777" w:rsidR="004A28DE" w:rsidRPr="004D61F0" w:rsidRDefault="004A28DE" w:rsidP="004A28DE">
      <w:pPr>
        <w:spacing w:after="120" w:line="240" w:lineRule="auto"/>
        <w:jc w:val="both"/>
        <w:rPr>
          <w:rFonts w:ascii="Tahoma" w:hAnsi="Tahoma" w:cs="Tahoma"/>
          <w:b/>
          <w:highlight w:val="yellow"/>
          <w:lang w:val="en-US"/>
        </w:rPr>
      </w:pPr>
    </w:p>
    <w:sectPr w:rsidR="004A28DE" w:rsidRPr="004D61F0" w:rsidSect="004733BF">
      <w:headerReference w:type="default" r:id="rId7"/>
      <w:footerReference w:type="default" r:id="rId8"/>
      <w:pgSz w:w="11906" w:h="16838"/>
      <w:pgMar w:top="181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3478" w14:textId="77777777" w:rsidR="003F6E8A" w:rsidRDefault="003F6E8A">
      <w:pPr>
        <w:spacing w:after="0" w:line="240" w:lineRule="auto"/>
      </w:pPr>
      <w:r>
        <w:separator/>
      </w:r>
    </w:p>
  </w:endnote>
  <w:endnote w:type="continuationSeparator" w:id="0">
    <w:p w14:paraId="30C61C11" w14:textId="77777777" w:rsidR="003F6E8A" w:rsidRDefault="003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852918"/>
      <w:docPartObj>
        <w:docPartGallery w:val="Page Numbers (Bottom of Page)"/>
        <w:docPartUnique/>
      </w:docPartObj>
    </w:sdtPr>
    <w:sdtEndPr/>
    <w:sdtContent>
      <w:p w14:paraId="38694769" w14:textId="77777777" w:rsidR="00443E75" w:rsidRDefault="0044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94">
          <w:rPr>
            <w:noProof/>
          </w:rPr>
          <w:t>1</w:t>
        </w:r>
        <w:r>
          <w:fldChar w:fldCharType="end"/>
        </w:r>
      </w:p>
    </w:sdtContent>
  </w:sdt>
  <w:p w14:paraId="39E56388" w14:textId="77777777" w:rsidR="00443E75" w:rsidRPr="00812704" w:rsidRDefault="00443E75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A866" w14:textId="77777777" w:rsidR="003F6E8A" w:rsidRDefault="003F6E8A">
      <w:pPr>
        <w:spacing w:after="0" w:line="240" w:lineRule="auto"/>
      </w:pPr>
      <w:r>
        <w:separator/>
      </w:r>
    </w:p>
  </w:footnote>
  <w:footnote w:type="continuationSeparator" w:id="0">
    <w:p w14:paraId="3CF73F9E" w14:textId="77777777" w:rsidR="003F6E8A" w:rsidRDefault="003F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E70C" w14:textId="77777777" w:rsidR="00443E75" w:rsidRPr="00BE1469" w:rsidRDefault="00443E75">
    <w:pPr>
      <w:pStyle w:val="Nagwek"/>
      <w:rPr>
        <w:rFonts w:ascii="Tahoma" w:hAnsi="Tahoma" w:cs="Tahoma"/>
        <w:b/>
        <w:color w:val="808080"/>
        <w:sz w:val="28"/>
        <w:szCs w:val="28"/>
      </w:rPr>
    </w:pPr>
    <w:r>
      <w:rPr>
        <w:noProof/>
      </w:rPr>
      <w:drawing>
        <wp:inline distT="0" distB="0" distL="0" distR="0" wp14:anchorId="5B43A76A" wp14:editId="4D7A7AFA">
          <wp:extent cx="1714500" cy="495300"/>
          <wp:effectExtent l="0" t="0" r="0" b="0"/>
          <wp:docPr id="1" name="Obraz 1" descr="Opis: budimex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udimex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E1469">
      <w:rPr>
        <w:color w:val="808080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6D"/>
    <w:rsid w:val="00000ADD"/>
    <w:rsid w:val="00002445"/>
    <w:rsid w:val="00002D8D"/>
    <w:rsid w:val="00005B00"/>
    <w:rsid w:val="00006DAD"/>
    <w:rsid w:val="00006F16"/>
    <w:rsid w:val="00007CED"/>
    <w:rsid w:val="00012BD3"/>
    <w:rsid w:val="00013DDC"/>
    <w:rsid w:val="000143E1"/>
    <w:rsid w:val="00015571"/>
    <w:rsid w:val="00015D17"/>
    <w:rsid w:val="00015E18"/>
    <w:rsid w:val="0001686D"/>
    <w:rsid w:val="0002472B"/>
    <w:rsid w:val="0002512E"/>
    <w:rsid w:val="00027A0D"/>
    <w:rsid w:val="00031B45"/>
    <w:rsid w:val="00035187"/>
    <w:rsid w:val="00035E44"/>
    <w:rsid w:val="00043FAD"/>
    <w:rsid w:val="00046A59"/>
    <w:rsid w:val="0005186F"/>
    <w:rsid w:val="000536CC"/>
    <w:rsid w:val="000544AB"/>
    <w:rsid w:val="0005636C"/>
    <w:rsid w:val="000611CA"/>
    <w:rsid w:val="00065CCE"/>
    <w:rsid w:val="00066CBA"/>
    <w:rsid w:val="00070F13"/>
    <w:rsid w:val="0007273E"/>
    <w:rsid w:val="000750B2"/>
    <w:rsid w:val="00083BF1"/>
    <w:rsid w:val="00086502"/>
    <w:rsid w:val="0009546B"/>
    <w:rsid w:val="0009571E"/>
    <w:rsid w:val="0009760A"/>
    <w:rsid w:val="000A393E"/>
    <w:rsid w:val="000A50D8"/>
    <w:rsid w:val="000A6A68"/>
    <w:rsid w:val="000A79F5"/>
    <w:rsid w:val="000B0499"/>
    <w:rsid w:val="000C1D7C"/>
    <w:rsid w:val="000C492C"/>
    <w:rsid w:val="000C73E9"/>
    <w:rsid w:val="000D186E"/>
    <w:rsid w:val="000D608F"/>
    <w:rsid w:val="000D7B55"/>
    <w:rsid w:val="000E11F1"/>
    <w:rsid w:val="000E1CB9"/>
    <w:rsid w:val="000E77C2"/>
    <w:rsid w:val="000F1C3A"/>
    <w:rsid w:val="000F40FA"/>
    <w:rsid w:val="000F563F"/>
    <w:rsid w:val="000F6389"/>
    <w:rsid w:val="000F7013"/>
    <w:rsid w:val="00102994"/>
    <w:rsid w:val="00103B50"/>
    <w:rsid w:val="001046F9"/>
    <w:rsid w:val="00106EE5"/>
    <w:rsid w:val="00106FBD"/>
    <w:rsid w:val="0011139D"/>
    <w:rsid w:val="001146D1"/>
    <w:rsid w:val="001146F9"/>
    <w:rsid w:val="001158F2"/>
    <w:rsid w:val="00117D8D"/>
    <w:rsid w:val="00120F83"/>
    <w:rsid w:val="001212FE"/>
    <w:rsid w:val="00123AF4"/>
    <w:rsid w:val="001263A7"/>
    <w:rsid w:val="00126412"/>
    <w:rsid w:val="0012672F"/>
    <w:rsid w:val="001309E7"/>
    <w:rsid w:val="00131185"/>
    <w:rsid w:val="00132808"/>
    <w:rsid w:val="001365F7"/>
    <w:rsid w:val="0014150D"/>
    <w:rsid w:val="00143B9B"/>
    <w:rsid w:val="001446B7"/>
    <w:rsid w:val="00151EF0"/>
    <w:rsid w:val="001550D9"/>
    <w:rsid w:val="0016357F"/>
    <w:rsid w:val="001635B1"/>
    <w:rsid w:val="001701E4"/>
    <w:rsid w:val="00171025"/>
    <w:rsid w:val="00171462"/>
    <w:rsid w:val="00171CFD"/>
    <w:rsid w:val="00172E2A"/>
    <w:rsid w:val="00175351"/>
    <w:rsid w:val="001769D2"/>
    <w:rsid w:val="00177650"/>
    <w:rsid w:val="00180E54"/>
    <w:rsid w:val="0018339B"/>
    <w:rsid w:val="00184A9C"/>
    <w:rsid w:val="001866B8"/>
    <w:rsid w:val="001873A7"/>
    <w:rsid w:val="00187FF6"/>
    <w:rsid w:val="00196274"/>
    <w:rsid w:val="00196CAA"/>
    <w:rsid w:val="00197E8F"/>
    <w:rsid w:val="001A1B8E"/>
    <w:rsid w:val="001A1E40"/>
    <w:rsid w:val="001A5A1E"/>
    <w:rsid w:val="001B2EDD"/>
    <w:rsid w:val="001C2AAD"/>
    <w:rsid w:val="001C2EED"/>
    <w:rsid w:val="001C30C8"/>
    <w:rsid w:val="001D4EDA"/>
    <w:rsid w:val="001D6505"/>
    <w:rsid w:val="001E3DA9"/>
    <w:rsid w:val="001E652D"/>
    <w:rsid w:val="001E7B6A"/>
    <w:rsid w:val="001F2849"/>
    <w:rsid w:val="00201C91"/>
    <w:rsid w:val="00202BB1"/>
    <w:rsid w:val="002069D0"/>
    <w:rsid w:val="0021394F"/>
    <w:rsid w:val="00217295"/>
    <w:rsid w:val="002209DF"/>
    <w:rsid w:val="002239DC"/>
    <w:rsid w:val="00223DD5"/>
    <w:rsid w:val="00226A09"/>
    <w:rsid w:val="002271BF"/>
    <w:rsid w:val="00227D05"/>
    <w:rsid w:val="00230259"/>
    <w:rsid w:val="00230F45"/>
    <w:rsid w:val="00236F88"/>
    <w:rsid w:val="00237D9D"/>
    <w:rsid w:val="00240F97"/>
    <w:rsid w:val="002418A0"/>
    <w:rsid w:val="002556CE"/>
    <w:rsid w:val="00255AD1"/>
    <w:rsid w:val="00261350"/>
    <w:rsid w:val="002618A9"/>
    <w:rsid w:val="00266D7C"/>
    <w:rsid w:val="00266DA1"/>
    <w:rsid w:val="00270C40"/>
    <w:rsid w:val="00271673"/>
    <w:rsid w:val="0027327E"/>
    <w:rsid w:val="00274011"/>
    <w:rsid w:val="0027459B"/>
    <w:rsid w:val="00285E8D"/>
    <w:rsid w:val="00292F3C"/>
    <w:rsid w:val="002A46CA"/>
    <w:rsid w:val="002B0751"/>
    <w:rsid w:val="002B273E"/>
    <w:rsid w:val="002B604F"/>
    <w:rsid w:val="002B6328"/>
    <w:rsid w:val="002B65CF"/>
    <w:rsid w:val="002B6DE2"/>
    <w:rsid w:val="002C0BAE"/>
    <w:rsid w:val="002C3751"/>
    <w:rsid w:val="002C7EA0"/>
    <w:rsid w:val="002D2D9E"/>
    <w:rsid w:val="002D41C8"/>
    <w:rsid w:val="002D7B56"/>
    <w:rsid w:val="002F1239"/>
    <w:rsid w:val="002F320E"/>
    <w:rsid w:val="002F39F8"/>
    <w:rsid w:val="002F66D3"/>
    <w:rsid w:val="002F7553"/>
    <w:rsid w:val="003013FE"/>
    <w:rsid w:val="003125A0"/>
    <w:rsid w:val="00320E63"/>
    <w:rsid w:val="00320F7D"/>
    <w:rsid w:val="0032728F"/>
    <w:rsid w:val="00343849"/>
    <w:rsid w:val="00345D46"/>
    <w:rsid w:val="00350DFB"/>
    <w:rsid w:val="00351C4D"/>
    <w:rsid w:val="0035393A"/>
    <w:rsid w:val="003625B3"/>
    <w:rsid w:val="00382E51"/>
    <w:rsid w:val="00387E4F"/>
    <w:rsid w:val="00390E52"/>
    <w:rsid w:val="003911DC"/>
    <w:rsid w:val="00391573"/>
    <w:rsid w:val="003917A7"/>
    <w:rsid w:val="003921DB"/>
    <w:rsid w:val="003A3BFA"/>
    <w:rsid w:val="003A3ED2"/>
    <w:rsid w:val="003A5CC0"/>
    <w:rsid w:val="003A7AD8"/>
    <w:rsid w:val="003B3BB5"/>
    <w:rsid w:val="003B666E"/>
    <w:rsid w:val="003B7263"/>
    <w:rsid w:val="003C0E35"/>
    <w:rsid w:val="003C546E"/>
    <w:rsid w:val="003C743F"/>
    <w:rsid w:val="003C7745"/>
    <w:rsid w:val="003C7DAE"/>
    <w:rsid w:val="003C7FEB"/>
    <w:rsid w:val="003D053E"/>
    <w:rsid w:val="003D3A09"/>
    <w:rsid w:val="003D6766"/>
    <w:rsid w:val="003E0C8D"/>
    <w:rsid w:val="003E1404"/>
    <w:rsid w:val="003E20ED"/>
    <w:rsid w:val="003E70EB"/>
    <w:rsid w:val="003F12A9"/>
    <w:rsid w:val="003F4E6A"/>
    <w:rsid w:val="003F6E8A"/>
    <w:rsid w:val="00400334"/>
    <w:rsid w:val="00401364"/>
    <w:rsid w:val="0040156F"/>
    <w:rsid w:val="00402CA9"/>
    <w:rsid w:val="00404D4D"/>
    <w:rsid w:val="00405284"/>
    <w:rsid w:val="00414552"/>
    <w:rsid w:val="00415B37"/>
    <w:rsid w:val="00417B2A"/>
    <w:rsid w:val="00422DF4"/>
    <w:rsid w:val="0042402D"/>
    <w:rsid w:val="00426056"/>
    <w:rsid w:val="004274CF"/>
    <w:rsid w:val="00427E4C"/>
    <w:rsid w:val="00427F41"/>
    <w:rsid w:val="0043101D"/>
    <w:rsid w:val="00432029"/>
    <w:rsid w:val="004341FE"/>
    <w:rsid w:val="00435CEF"/>
    <w:rsid w:val="004376CD"/>
    <w:rsid w:val="00437DCD"/>
    <w:rsid w:val="00443E75"/>
    <w:rsid w:val="00450576"/>
    <w:rsid w:val="0045542F"/>
    <w:rsid w:val="00464C4B"/>
    <w:rsid w:val="00465A5B"/>
    <w:rsid w:val="00467234"/>
    <w:rsid w:val="0047065A"/>
    <w:rsid w:val="004733BF"/>
    <w:rsid w:val="00473904"/>
    <w:rsid w:val="00484BEB"/>
    <w:rsid w:val="00494154"/>
    <w:rsid w:val="00495C61"/>
    <w:rsid w:val="0049789C"/>
    <w:rsid w:val="004A28DE"/>
    <w:rsid w:val="004B1AC3"/>
    <w:rsid w:val="004B43E2"/>
    <w:rsid w:val="004B49E9"/>
    <w:rsid w:val="004B71B6"/>
    <w:rsid w:val="004B79EF"/>
    <w:rsid w:val="004C6089"/>
    <w:rsid w:val="004D57DA"/>
    <w:rsid w:val="004D61F0"/>
    <w:rsid w:val="004D7A08"/>
    <w:rsid w:val="004E19C7"/>
    <w:rsid w:val="004E4D86"/>
    <w:rsid w:val="004E53A7"/>
    <w:rsid w:val="004E6ABA"/>
    <w:rsid w:val="004E7128"/>
    <w:rsid w:val="004F0D34"/>
    <w:rsid w:val="004F5E83"/>
    <w:rsid w:val="004F6359"/>
    <w:rsid w:val="004F716D"/>
    <w:rsid w:val="005036EC"/>
    <w:rsid w:val="00503F0A"/>
    <w:rsid w:val="00511D05"/>
    <w:rsid w:val="0051496D"/>
    <w:rsid w:val="005239F5"/>
    <w:rsid w:val="00526E50"/>
    <w:rsid w:val="0052788E"/>
    <w:rsid w:val="0053642A"/>
    <w:rsid w:val="005378B7"/>
    <w:rsid w:val="00543A5F"/>
    <w:rsid w:val="005445B0"/>
    <w:rsid w:val="00545373"/>
    <w:rsid w:val="00550487"/>
    <w:rsid w:val="005523FB"/>
    <w:rsid w:val="00552A77"/>
    <w:rsid w:val="005552E8"/>
    <w:rsid w:val="0055549A"/>
    <w:rsid w:val="00563764"/>
    <w:rsid w:val="0056395E"/>
    <w:rsid w:val="0057085C"/>
    <w:rsid w:val="00571082"/>
    <w:rsid w:val="005769DE"/>
    <w:rsid w:val="00581EC0"/>
    <w:rsid w:val="00586155"/>
    <w:rsid w:val="00590C93"/>
    <w:rsid w:val="00591A89"/>
    <w:rsid w:val="005A267F"/>
    <w:rsid w:val="005A67D6"/>
    <w:rsid w:val="005A68B3"/>
    <w:rsid w:val="005B1F9D"/>
    <w:rsid w:val="005B40D7"/>
    <w:rsid w:val="005B56BA"/>
    <w:rsid w:val="005C21BF"/>
    <w:rsid w:val="005C3AC2"/>
    <w:rsid w:val="005C4971"/>
    <w:rsid w:val="005C4C1C"/>
    <w:rsid w:val="005C5517"/>
    <w:rsid w:val="005D184D"/>
    <w:rsid w:val="005D594B"/>
    <w:rsid w:val="005D6C3A"/>
    <w:rsid w:val="005E06E8"/>
    <w:rsid w:val="005E0B46"/>
    <w:rsid w:val="005E213B"/>
    <w:rsid w:val="005E4820"/>
    <w:rsid w:val="005F04D5"/>
    <w:rsid w:val="005F15FB"/>
    <w:rsid w:val="005F50A3"/>
    <w:rsid w:val="005F7C96"/>
    <w:rsid w:val="00601A95"/>
    <w:rsid w:val="00601C53"/>
    <w:rsid w:val="0060225D"/>
    <w:rsid w:val="006038DA"/>
    <w:rsid w:val="006068B3"/>
    <w:rsid w:val="006125A0"/>
    <w:rsid w:val="00615211"/>
    <w:rsid w:val="006278A7"/>
    <w:rsid w:val="0063676F"/>
    <w:rsid w:val="006379E1"/>
    <w:rsid w:val="00645098"/>
    <w:rsid w:val="006455B1"/>
    <w:rsid w:val="0064767A"/>
    <w:rsid w:val="00650D89"/>
    <w:rsid w:val="006616DF"/>
    <w:rsid w:val="00662014"/>
    <w:rsid w:val="00663074"/>
    <w:rsid w:val="00666B10"/>
    <w:rsid w:val="00666E9D"/>
    <w:rsid w:val="006716FA"/>
    <w:rsid w:val="006731FF"/>
    <w:rsid w:val="00674597"/>
    <w:rsid w:val="00676DDD"/>
    <w:rsid w:val="00687AB8"/>
    <w:rsid w:val="006A0669"/>
    <w:rsid w:val="006A0B22"/>
    <w:rsid w:val="006A5A7F"/>
    <w:rsid w:val="006C2A03"/>
    <w:rsid w:val="006C5BA9"/>
    <w:rsid w:val="006D49A6"/>
    <w:rsid w:val="006E1B69"/>
    <w:rsid w:val="006E2D42"/>
    <w:rsid w:val="006E5C8E"/>
    <w:rsid w:val="006E7BB7"/>
    <w:rsid w:val="006F321E"/>
    <w:rsid w:val="006F3909"/>
    <w:rsid w:val="006F429D"/>
    <w:rsid w:val="007055FD"/>
    <w:rsid w:val="007069E7"/>
    <w:rsid w:val="00716F73"/>
    <w:rsid w:val="007227C2"/>
    <w:rsid w:val="007243DF"/>
    <w:rsid w:val="00725742"/>
    <w:rsid w:val="007272D9"/>
    <w:rsid w:val="007305AF"/>
    <w:rsid w:val="00732FD4"/>
    <w:rsid w:val="00733580"/>
    <w:rsid w:val="00733601"/>
    <w:rsid w:val="00735186"/>
    <w:rsid w:val="00737AC9"/>
    <w:rsid w:val="00737B0D"/>
    <w:rsid w:val="007410AD"/>
    <w:rsid w:val="007412B7"/>
    <w:rsid w:val="00741DA4"/>
    <w:rsid w:val="00743B88"/>
    <w:rsid w:val="0074685E"/>
    <w:rsid w:val="0074769E"/>
    <w:rsid w:val="00747AC9"/>
    <w:rsid w:val="007535DE"/>
    <w:rsid w:val="00762FD6"/>
    <w:rsid w:val="00764F27"/>
    <w:rsid w:val="00765CC0"/>
    <w:rsid w:val="007676C8"/>
    <w:rsid w:val="007707AB"/>
    <w:rsid w:val="00771A10"/>
    <w:rsid w:val="00772941"/>
    <w:rsid w:val="00773CE1"/>
    <w:rsid w:val="007756CB"/>
    <w:rsid w:val="00775C6E"/>
    <w:rsid w:val="007774EF"/>
    <w:rsid w:val="00777E0F"/>
    <w:rsid w:val="00783CAC"/>
    <w:rsid w:val="00786953"/>
    <w:rsid w:val="0079320D"/>
    <w:rsid w:val="00793765"/>
    <w:rsid w:val="0079618E"/>
    <w:rsid w:val="00796AAE"/>
    <w:rsid w:val="007A0268"/>
    <w:rsid w:val="007A0AFF"/>
    <w:rsid w:val="007A0E74"/>
    <w:rsid w:val="007B2A08"/>
    <w:rsid w:val="007B7905"/>
    <w:rsid w:val="007C1633"/>
    <w:rsid w:val="007C18BA"/>
    <w:rsid w:val="007C4188"/>
    <w:rsid w:val="007C5BA2"/>
    <w:rsid w:val="007C7473"/>
    <w:rsid w:val="007D076F"/>
    <w:rsid w:val="007D1269"/>
    <w:rsid w:val="007D2594"/>
    <w:rsid w:val="007D3FAE"/>
    <w:rsid w:val="007D44F3"/>
    <w:rsid w:val="007D4E38"/>
    <w:rsid w:val="007D5FD9"/>
    <w:rsid w:val="007E2F00"/>
    <w:rsid w:val="007E54BA"/>
    <w:rsid w:val="007F0EEF"/>
    <w:rsid w:val="007F430C"/>
    <w:rsid w:val="007F493C"/>
    <w:rsid w:val="007F5386"/>
    <w:rsid w:val="007F5483"/>
    <w:rsid w:val="007F7EC9"/>
    <w:rsid w:val="008018A5"/>
    <w:rsid w:val="0080306A"/>
    <w:rsid w:val="00803440"/>
    <w:rsid w:val="008046A2"/>
    <w:rsid w:val="00805427"/>
    <w:rsid w:val="0080767C"/>
    <w:rsid w:val="00814A23"/>
    <w:rsid w:val="008177ED"/>
    <w:rsid w:val="008231E8"/>
    <w:rsid w:val="00823566"/>
    <w:rsid w:val="00825759"/>
    <w:rsid w:val="0083391F"/>
    <w:rsid w:val="00834891"/>
    <w:rsid w:val="008349FF"/>
    <w:rsid w:val="00837162"/>
    <w:rsid w:val="00841D2F"/>
    <w:rsid w:val="00843F34"/>
    <w:rsid w:val="00844977"/>
    <w:rsid w:val="00845C70"/>
    <w:rsid w:val="00845FCD"/>
    <w:rsid w:val="0084678D"/>
    <w:rsid w:val="00850053"/>
    <w:rsid w:val="008502BF"/>
    <w:rsid w:val="00851251"/>
    <w:rsid w:val="008513AF"/>
    <w:rsid w:val="00851A30"/>
    <w:rsid w:val="00855F59"/>
    <w:rsid w:val="0086234F"/>
    <w:rsid w:val="00864CB7"/>
    <w:rsid w:val="00870948"/>
    <w:rsid w:val="00873E1B"/>
    <w:rsid w:val="0087436B"/>
    <w:rsid w:val="008743C4"/>
    <w:rsid w:val="008768DC"/>
    <w:rsid w:val="008828B1"/>
    <w:rsid w:val="0088299E"/>
    <w:rsid w:val="00885A5F"/>
    <w:rsid w:val="00886BFA"/>
    <w:rsid w:val="00891BC6"/>
    <w:rsid w:val="008925ED"/>
    <w:rsid w:val="00893DDF"/>
    <w:rsid w:val="00896939"/>
    <w:rsid w:val="008A05D0"/>
    <w:rsid w:val="008A090D"/>
    <w:rsid w:val="008A4845"/>
    <w:rsid w:val="008B18B6"/>
    <w:rsid w:val="008B4DFB"/>
    <w:rsid w:val="008B5897"/>
    <w:rsid w:val="008B672E"/>
    <w:rsid w:val="008B7238"/>
    <w:rsid w:val="008C1324"/>
    <w:rsid w:val="008C3BD5"/>
    <w:rsid w:val="008C4905"/>
    <w:rsid w:val="008C58DC"/>
    <w:rsid w:val="008D3E62"/>
    <w:rsid w:val="008D46F0"/>
    <w:rsid w:val="008D5A20"/>
    <w:rsid w:val="008D7A4B"/>
    <w:rsid w:val="008D7B87"/>
    <w:rsid w:val="008F0A04"/>
    <w:rsid w:val="008F3149"/>
    <w:rsid w:val="00906E75"/>
    <w:rsid w:val="009116B8"/>
    <w:rsid w:val="00914A70"/>
    <w:rsid w:val="009211B4"/>
    <w:rsid w:val="00924B42"/>
    <w:rsid w:val="009253D7"/>
    <w:rsid w:val="00925BCC"/>
    <w:rsid w:val="00935DE0"/>
    <w:rsid w:val="00936001"/>
    <w:rsid w:val="00936CEA"/>
    <w:rsid w:val="00943DFD"/>
    <w:rsid w:val="00944ABB"/>
    <w:rsid w:val="0094542B"/>
    <w:rsid w:val="00946629"/>
    <w:rsid w:val="00947ACD"/>
    <w:rsid w:val="009525B6"/>
    <w:rsid w:val="00953FC2"/>
    <w:rsid w:val="00957B70"/>
    <w:rsid w:val="009626EB"/>
    <w:rsid w:val="009648BE"/>
    <w:rsid w:val="009741AE"/>
    <w:rsid w:val="00974D7B"/>
    <w:rsid w:val="009850CA"/>
    <w:rsid w:val="00985183"/>
    <w:rsid w:val="00985D94"/>
    <w:rsid w:val="009874C9"/>
    <w:rsid w:val="00990D53"/>
    <w:rsid w:val="00990E3F"/>
    <w:rsid w:val="00991E76"/>
    <w:rsid w:val="009921F9"/>
    <w:rsid w:val="0099546B"/>
    <w:rsid w:val="00995AC3"/>
    <w:rsid w:val="00995DDF"/>
    <w:rsid w:val="00997670"/>
    <w:rsid w:val="009978D9"/>
    <w:rsid w:val="009A1B96"/>
    <w:rsid w:val="009A1F35"/>
    <w:rsid w:val="009A2133"/>
    <w:rsid w:val="009A4A46"/>
    <w:rsid w:val="009A78CB"/>
    <w:rsid w:val="009B2AE5"/>
    <w:rsid w:val="009B4653"/>
    <w:rsid w:val="009B49B7"/>
    <w:rsid w:val="009B5C97"/>
    <w:rsid w:val="009B7CC4"/>
    <w:rsid w:val="009C0287"/>
    <w:rsid w:val="009C7D4B"/>
    <w:rsid w:val="009D1C3C"/>
    <w:rsid w:val="009D1D40"/>
    <w:rsid w:val="009D4E83"/>
    <w:rsid w:val="009D6366"/>
    <w:rsid w:val="009D6E6E"/>
    <w:rsid w:val="009D77B7"/>
    <w:rsid w:val="009E05B3"/>
    <w:rsid w:val="009F0CBF"/>
    <w:rsid w:val="009F182E"/>
    <w:rsid w:val="009F440E"/>
    <w:rsid w:val="009F7F82"/>
    <w:rsid w:val="00A0030F"/>
    <w:rsid w:val="00A019C4"/>
    <w:rsid w:val="00A057E2"/>
    <w:rsid w:val="00A070BF"/>
    <w:rsid w:val="00A1729E"/>
    <w:rsid w:val="00A23CB6"/>
    <w:rsid w:val="00A2434D"/>
    <w:rsid w:val="00A27ACA"/>
    <w:rsid w:val="00A30F27"/>
    <w:rsid w:val="00A31FFE"/>
    <w:rsid w:val="00A3311B"/>
    <w:rsid w:val="00A408AE"/>
    <w:rsid w:val="00A41AE4"/>
    <w:rsid w:val="00A42220"/>
    <w:rsid w:val="00A42B05"/>
    <w:rsid w:val="00A4335D"/>
    <w:rsid w:val="00A44B91"/>
    <w:rsid w:val="00A46C60"/>
    <w:rsid w:val="00A470A2"/>
    <w:rsid w:val="00A523B2"/>
    <w:rsid w:val="00A52FB6"/>
    <w:rsid w:val="00A53C6E"/>
    <w:rsid w:val="00A57B31"/>
    <w:rsid w:val="00A63B09"/>
    <w:rsid w:val="00A67FFE"/>
    <w:rsid w:val="00A75DD8"/>
    <w:rsid w:val="00A83C08"/>
    <w:rsid w:val="00A86520"/>
    <w:rsid w:val="00A87833"/>
    <w:rsid w:val="00A944D6"/>
    <w:rsid w:val="00A949F2"/>
    <w:rsid w:val="00AA4F33"/>
    <w:rsid w:val="00AA6543"/>
    <w:rsid w:val="00AB18D5"/>
    <w:rsid w:val="00AB4361"/>
    <w:rsid w:val="00AB5436"/>
    <w:rsid w:val="00AC2733"/>
    <w:rsid w:val="00AC45F5"/>
    <w:rsid w:val="00AC5224"/>
    <w:rsid w:val="00AC6068"/>
    <w:rsid w:val="00AC6E35"/>
    <w:rsid w:val="00AC7EF2"/>
    <w:rsid w:val="00AD1EBD"/>
    <w:rsid w:val="00AD32D7"/>
    <w:rsid w:val="00AD66C5"/>
    <w:rsid w:val="00AE076B"/>
    <w:rsid w:val="00AE112E"/>
    <w:rsid w:val="00AE2BB2"/>
    <w:rsid w:val="00AE412D"/>
    <w:rsid w:val="00AE50B9"/>
    <w:rsid w:val="00AE6B04"/>
    <w:rsid w:val="00AF00AD"/>
    <w:rsid w:val="00AF2D77"/>
    <w:rsid w:val="00AF3579"/>
    <w:rsid w:val="00B058F1"/>
    <w:rsid w:val="00B06C4F"/>
    <w:rsid w:val="00B07908"/>
    <w:rsid w:val="00B10E15"/>
    <w:rsid w:val="00B11C15"/>
    <w:rsid w:val="00B12CB9"/>
    <w:rsid w:val="00B144BF"/>
    <w:rsid w:val="00B23FE4"/>
    <w:rsid w:val="00B2664E"/>
    <w:rsid w:val="00B33C77"/>
    <w:rsid w:val="00B33CDC"/>
    <w:rsid w:val="00B3477A"/>
    <w:rsid w:val="00B34A58"/>
    <w:rsid w:val="00B3789E"/>
    <w:rsid w:val="00B4019F"/>
    <w:rsid w:val="00B460E3"/>
    <w:rsid w:val="00B47816"/>
    <w:rsid w:val="00B5023E"/>
    <w:rsid w:val="00B54C63"/>
    <w:rsid w:val="00B56871"/>
    <w:rsid w:val="00B6136B"/>
    <w:rsid w:val="00B6402B"/>
    <w:rsid w:val="00B64F55"/>
    <w:rsid w:val="00B70813"/>
    <w:rsid w:val="00B709E2"/>
    <w:rsid w:val="00B71662"/>
    <w:rsid w:val="00B75428"/>
    <w:rsid w:val="00B769C2"/>
    <w:rsid w:val="00B81A1B"/>
    <w:rsid w:val="00B81EED"/>
    <w:rsid w:val="00B8293E"/>
    <w:rsid w:val="00B82B75"/>
    <w:rsid w:val="00B84B34"/>
    <w:rsid w:val="00B863EC"/>
    <w:rsid w:val="00B9199D"/>
    <w:rsid w:val="00B93676"/>
    <w:rsid w:val="00BA1C34"/>
    <w:rsid w:val="00BA3D12"/>
    <w:rsid w:val="00BA4AFB"/>
    <w:rsid w:val="00BA7DA5"/>
    <w:rsid w:val="00BB210C"/>
    <w:rsid w:val="00BB26CB"/>
    <w:rsid w:val="00BB31F8"/>
    <w:rsid w:val="00BB3801"/>
    <w:rsid w:val="00BB58E5"/>
    <w:rsid w:val="00BB7635"/>
    <w:rsid w:val="00BC4A96"/>
    <w:rsid w:val="00BC4BBA"/>
    <w:rsid w:val="00BC558E"/>
    <w:rsid w:val="00BC7E4E"/>
    <w:rsid w:val="00BD089C"/>
    <w:rsid w:val="00BD0B89"/>
    <w:rsid w:val="00BD32F8"/>
    <w:rsid w:val="00BD3932"/>
    <w:rsid w:val="00BD4173"/>
    <w:rsid w:val="00BE2744"/>
    <w:rsid w:val="00BE6C06"/>
    <w:rsid w:val="00BE753D"/>
    <w:rsid w:val="00BF152A"/>
    <w:rsid w:val="00BF3981"/>
    <w:rsid w:val="00C05647"/>
    <w:rsid w:val="00C108BD"/>
    <w:rsid w:val="00C10AB2"/>
    <w:rsid w:val="00C118DD"/>
    <w:rsid w:val="00C1211F"/>
    <w:rsid w:val="00C13E43"/>
    <w:rsid w:val="00C149AC"/>
    <w:rsid w:val="00C16A54"/>
    <w:rsid w:val="00C232E2"/>
    <w:rsid w:val="00C24A61"/>
    <w:rsid w:val="00C26C33"/>
    <w:rsid w:val="00C27934"/>
    <w:rsid w:val="00C30472"/>
    <w:rsid w:val="00C323A7"/>
    <w:rsid w:val="00C35BD0"/>
    <w:rsid w:val="00C35D73"/>
    <w:rsid w:val="00C3772B"/>
    <w:rsid w:val="00C40DAD"/>
    <w:rsid w:val="00C4184D"/>
    <w:rsid w:val="00C44632"/>
    <w:rsid w:val="00C46274"/>
    <w:rsid w:val="00C53492"/>
    <w:rsid w:val="00C544C6"/>
    <w:rsid w:val="00C54C69"/>
    <w:rsid w:val="00C573A4"/>
    <w:rsid w:val="00C578FB"/>
    <w:rsid w:val="00C62540"/>
    <w:rsid w:val="00C626D6"/>
    <w:rsid w:val="00C63C79"/>
    <w:rsid w:val="00C652CD"/>
    <w:rsid w:val="00C66D49"/>
    <w:rsid w:val="00C70D89"/>
    <w:rsid w:val="00C74700"/>
    <w:rsid w:val="00C75CD2"/>
    <w:rsid w:val="00C7664D"/>
    <w:rsid w:val="00C81CFD"/>
    <w:rsid w:val="00C862A3"/>
    <w:rsid w:val="00C91D35"/>
    <w:rsid w:val="00C93341"/>
    <w:rsid w:val="00C96E50"/>
    <w:rsid w:val="00CA2DC2"/>
    <w:rsid w:val="00CA3E75"/>
    <w:rsid w:val="00CA5282"/>
    <w:rsid w:val="00CA7D2E"/>
    <w:rsid w:val="00CB1AAB"/>
    <w:rsid w:val="00CB4F45"/>
    <w:rsid w:val="00CB6A71"/>
    <w:rsid w:val="00CB6DC2"/>
    <w:rsid w:val="00CB763F"/>
    <w:rsid w:val="00CC1E37"/>
    <w:rsid w:val="00CC1F1F"/>
    <w:rsid w:val="00CC2796"/>
    <w:rsid w:val="00CC4054"/>
    <w:rsid w:val="00CC77F8"/>
    <w:rsid w:val="00CD1391"/>
    <w:rsid w:val="00CD15AC"/>
    <w:rsid w:val="00CD2116"/>
    <w:rsid w:val="00CD26A0"/>
    <w:rsid w:val="00CD468F"/>
    <w:rsid w:val="00CD5CFB"/>
    <w:rsid w:val="00CE46D8"/>
    <w:rsid w:val="00CE571A"/>
    <w:rsid w:val="00CF0E98"/>
    <w:rsid w:val="00CF2A17"/>
    <w:rsid w:val="00CF4542"/>
    <w:rsid w:val="00CF7E60"/>
    <w:rsid w:val="00D042FA"/>
    <w:rsid w:val="00D0456B"/>
    <w:rsid w:val="00D05EB5"/>
    <w:rsid w:val="00D07095"/>
    <w:rsid w:val="00D139A0"/>
    <w:rsid w:val="00D1632C"/>
    <w:rsid w:val="00D241EF"/>
    <w:rsid w:val="00D4010D"/>
    <w:rsid w:val="00D40347"/>
    <w:rsid w:val="00D41E13"/>
    <w:rsid w:val="00D41ED8"/>
    <w:rsid w:val="00D42D67"/>
    <w:rsid w:val="00D44F40"/>
    <w:rsid w:val="00D45496"/>
    <w:rsid w:val="00D46424"/>
    <w:rsid w:val="00D540FD"/>
    <w:rsid w:val="00D55A44"/>
    <w:rsid w:val="00D57359"/>
    <w:rsid w:val="00D616F9"/>
    <w:rsid w:val="00D63FDD"/>
    <w:rsid w:val="00D640FB"/>
    <w:rsid w:val="00D67F13"/>
    <w:rsid w:val="00D74CF4"/>
    <w:rsid w:val="00D77C05"/>
    <w:rsid w:val="00D8039F"/>
    <w:rsid w:val="00D8070F"/>
    <w:rsid w:val="00D817AD"/>
    <w:rsid w:val="00D8307B"/>
    <w:rsid w:val="00D909C5"/>
    <w:rsid w:val="00D94267"/>
    <w:rsid w:val="00D9503C"/>
    <w:rsid w:val="00D95DD8"/>
    <w:rsid w:val="00DA1F57"/>
    <w:rsid w:val="00DA39D0"/>
    <w:rsid w:val="00DA62BF"/>
    <w:rsid w:val="00DB2DFE"/>
    <w:rsid w:val="00DB3C4F"/>
    <w:rsid w:val="00DB445F"/>
    <w:rsid w:val="00DB639A"/>
    <w:rsid w:val="00DB702A"/>
    <w:rsid w:val="00DC1BB2"/>
    <w:rsid w:val="00DC212F"/>
    <w:rsid w:val="00DC39F6"/>
    <w:rsid w:val="00DC3BBC"/>
    <w:rsid w:val="00DC6367"/>
    <w:rsid w:val="00DD1F9B"/>
    <w:rsid w:val="00DD2C35"/>
    <w:rsid w:val="00DD40B4"/>
    <w:rsid w:val="00DD5A26"/>
    <w:rsid w:val="00DE10DD"/>
    <w:rsid w:val="00DE21EF"/>
    <w:rsid w:val="00DE2AA7"/>
    <w:rsid w:val="00DF245F"/>
    <w:rsid w:val="00DF3DAE"/>
    <w:rsid w:val="00DF4C3D"/>
    <w:rsid w:val="00DF5A4A"/>
    <w:rsid w:val="00E00BD6"/>
    <w:rsid w:val="00E01445"/>
    <w:rsid w:val="00E070C2"/>
    <w:rsid w:val="00E11B2C"/>
    <w:rsid w:val="00E12144"/>
    <w:rsid w:val="00E1455D"/>
    <w:rsid w:val="00E15565"/>
    <w:rsid w:val="00E17676"/>
    <w:rsid w:val="00E176E3"/>
    <w:rsid w:val="00E17948"/>
    <w:rsid w:val="00E17D5F"/>
    <w:rsid w:val="00E20B3F"/>
    <w:rsid w:val="00E21AEB"/>
    <w:rsid w:val="00E2209A"/>
    <w:rsid w:val="00E27D28"/>
    <w:rsid w:val="00E3372C"/>
    <w:rsid w:val="00E34AD4"/>
    <w:rsid w:val="00E37C10"/>
    <w:rsid w:val="00E402E6"/>
    <w:rsid w:val="00E47D3F"/>
    <w:rsid w:val="00E47E1C"/>
    <w:rsid w:val="00E53CF6"/>
    <w:rsid w:val="00E55467"/>
    <w:rsid w:val="00E55F0A"/>
    <w:rsid w:val="00E56C7E"/>
    <w:rsid w:val="00E60624"/>
    <w:rsid w:val="00E60CF2"/>
    <w:rsid w:val="00E62594"/>
    <w:rsid w:val="00E75C31"/>
    <w:rsid w:val="00E82664"/>
    <w:rsid w:val="00E84601"/>
    <w:rsid w:val="00E87DC2"/>
    <w:rsid w:val="00E91CDC"/>
    <w:rsid w:val="00E94203"/>
    <w:rsid w:val="00E94760"/>
    <w:rsid w:val="00EB1FD8"/>
    <w:rsid w:val="00EB2976"/>
    <w:rsid w:val="00EB4109"/>
    <w:rsid w:val="00EB4BED"/>
    <w:rsid w:val="00EB6B9B"/>
    <w:rsid w:val="00EC0518"/>
    <w:rsid w:val="00EC3640"/>
    <w:rsid w:val="00EC5591"/>
    <w:rsid w:val="00EC55A9"/>
    <w:rsid w:val="00ED0A79"/>
    <w:rsid w:val="00ED1919"/>
    <w:rsid w:val="00ED1FB4"/>
    <w:rsid w:val="00ED3FB8"/>
    <w:rsid w:val="00EE34C5"/>
    <w:rsid w:val="00EE4D75"/>
    <w:rsid w:val="00EE6DF4"/>
    <w:rsid w:val="00EE7E75"/>
    <w:rsid w:val="00EF051C"/>
    <w:rsid w:val="00EF06A2"/>
    <w:rsid w:val="00EF3179"/>
    <w:rsid w:val="00F03BDA"/>
    <w:rsid w:val="00F10A01"/>
    <w:rsid w:val="00F1288F"/>
    <w:rsid w:val="00F13ABF"/>
    <w:rsid w:val="00F16930"/>
    <w:rsid w:val="00F175C6"/>
    <w:rsid w:val="00F2076F"/>
    <w:rsid w:val="00F23024"/>
    <w:rsid w:val="00F2359B"/>
    <w:rsid w:val="00F25356"/>
    <w:rsid w:val="00F27703"/>
    <w:rsid w:val="00F33BD9"/>
    <w:rsid w:val="00F42096"/>
    <w:rsid w:val="00F44448"/>
    <w:rsid w:val="00F460D1"/>
    <w:rsid w:val="00F467A0"/>
    <w:rsid w:val="00F47756"/>
    <w:rsid w:val="00F479B7"/>
    <w:rsid w:val="00F53CE9"/>
    <w:rsid w:val="00F55594"/>
    <w:rsid w:val="00F6337F"/>
    <w:rsid w:val="00F80AF6"/>
    <w:rsid w:val="00F830BF"/>
    <w:rsid w:val="00F87DAE"/>
    <w:rsid w:val="00F914A1"/>
    <w:rsid w:val="00F95AFB"/>
    <w:rsid w:val="00F95D65"/>
    <w:rsid w:val="00FA02B5"/>
    <w:rsid w:val="00FB000A"/>
    <w:rsid w:val="00FB66BA"/>
    <w:rsid w:val="00FB735A"/>
    <w:rsid w:val="00FD3E5F"/>
    <w:rsid w:val="00FD52B4"/>
    <w:rsid w:val="00FD5D98"/>
    <w:rsid w:val="00FD72AF"/>
    <w:rsid w:val="00FE0059"/>
    <w:rsid w:val="00FF0142"/>
    <w:rsid w:val="00FF1B5A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C61B"/>
  <w15:docId w15:val="{F59923B0-F4B4-4E45-88F0-3F6D752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Nagwek1kwartalne">
    <w:name w:val="Nagłówek_1_kwartalne"/>
    <w:basedOn w:val="Nagwek1"/>
    <w:rsid w:val="004F716D"/>
    <w:pPr>
      <w:keepLines w:val="0"/>
      <w:spacing w:before="0" w:line="300" w:lineRule="exact"/>
      <w:jc w:val="both"/>
    </w:pPr>
    <w:rPr>
      <w:rFonts w:ascii="Verdana" w:eastAsia="Times New Roman" w:hAnsi="Verdana" w:cs="Times New Roman"/>
      <w:bCs w:val="0"/>
      <w:color w:val="auto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0D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C4F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C4F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4"/>
    <w:rPr>
      <w:vertAlign w:val="superscript"/>
    </w:rPr>
  </w:style>
  <w:style w:type="paragraph" w:customStyle="1" w:styleId="Default">
    <w:name w:val="Default"/>
    <w:rsid w:val="00C91D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A8EC-6C5C-4A2E-BA53-ABDFBED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BUDIMEX S.A.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Kozioł</dc:creator>
  <cp:lastModifiedBy>Kołakowska, Kinga</cp:lastModifiedBy>
  <cp:revision>18</cp:revision>
  <cp:lastPrinted>2019-02-20T09:48:00Z</cp:lastPrinted>
  <dcterms:created xsi:type="dcterms:W3CDTF">2019-02-20T09:31:00Z</dcterms:created>
  <dcterms:modified xsi:type="dcterms:W3CDTF">2020-02-25T21:03:00Z</dcterms:modified>
</cp:coreProperties>
</file>